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Milliput: Toxikologische Bewertung von zweikomponentigem Epoxidkitt</w:t>
      </w:r>
    </w:p>
    <w:p>
      <w:pPr>
        <w:pStyle w:val="Heading1"/>
      </w:pPr>
      <w:r>
        <w:t>1. Schlussfolgerungen</w:t>
      </w:r>
    </w:p>
    <w:p>
      <w:r>
        <w:t>Milliput-Produkte sind zweikomponentige Epoxidkitts. Sie basieren auf einer Grundformulierung für Komponente A und Komponente B, mit Farbvarianten.</w:t>
        <w:br/>
        <w:br/>
        <w:t>Komponente A enthält das Epoxidharz. Die Hauptgefahr besteht in Hautsensibilisierung und Reizung. Es besteht die Möglichkeit von Augenreizungen, wenn das Produkt ins Auge gelangt. Das Produkt wird in kleinen Mengen verkauft, wodurch die Toxizität für Wasserorganismen begrenzt wird.</w:t>
        <w:br/>
        <w:br/>
        <w:t>Komponente B enthält ein Polyaminoamid. Die Hauptgefahr ist Hautsensibilisierung und Reizung. Es besteht die Möglichkeit von Augenreizungen, wenn das Produkt ins Auge gelangt. Dieser Bestandteil kann auch Atemwegsreizungen verursachen, aber das Einatmen wird bei dem viskosen Produkt nicht erwartet.</w:t>
        <w:br/>
        <w:br/>
        <w:t>Polyaminoamide: Diese Produktgruppe hat im Vergleich zu anderen Härtern leicht reizende Wirkungen auf Haut und Schleimhäute, kann jedoch erhebliche Mengen an nicht umgesetztem Amin enthalten, was Haut-, Augen- und Schleimhautreizungen verursacht und Hautsensibilisierung hervorrufen kann.</w:t>
        <w:br/>
        <w:br/>
        <w:t>Einige Farbvarianten (Superfein Weiß, Silber und Türkis-Blau) enthalten geringe Mengen BHT, das sehr giftig für Wasserorganismen ist und voraussichtlich in der Umwelt bestehen bleibt. Diese Produkte gelten als schädlich für Wasserorganismen mit langfristigen Wirkungen. Das Produkt wird in kleinen Mengen verkauft, wodurch diese Gefahr begrenzt wird.</w:t>
      </w:r>
    </w:p>
    <w:p>
      <w:pPr>
        <w:pStyle w:val="Heading1"/>
      </w:pPr>
      <w:r>
        <w:t>2. Komponente A</w:t>
      </w:r>
    </w:p>
    <w:p>
      <w:pPr>
        <w:pStyle w:val="Heading2"/>
      </w:pPr>
      <w:r>
        <w:t>Gefahrenklassifizierung der wichtigsten Bestandteile</w:t>
      </w:r>
    </w:p>
    <w:tbl>
      <w:tblPr>
        <w:tblW w:type="auto" w:w="0"/>
        <w:tblLook w:firstColumn="1" w:firstRow="1" w:lastColumn="0" w:lastRow="0" w:noHBand="0" w:noVBand="1" w:val="04A0"/>
      </w:tblPr>
      <w:tblGrid>
        <w:gridCol w:w="2160"/>
        <w:gridCol w:w="2160"/>
        <w:gridCol w:w="2160"/>
        <w:gridCol w:w="2160"/>
      </w:tblGrid>
      <w:tr>
        <w:tc>
          <w:tcPr>
            <w:tcW w:type="dxa" w:w="2160"/>
          </w:tcPr>
          <w:p>
            <w:r>
              <w:t>Bestandteil (EG- und CAS-Nr.)</w:t>
            </w:r>
          </w:p>
        </w:tc>
        <w:tc>
          <w:tcPr>
            <w:tcW w:type="dxa" w:w="2160"/>
          </w:tcPr>
          <w:p>
            <w:r>
              <w:t>Gew.%</w:t>
            </w:r>
          </w:p>
        </w:tc>
        <w:tc>
          <w:tcPr>
            <w:tcW w:type="dxa" w:w="2160"/>
          </w:tcPr>
          <w:p>
            <w:r>
              <w:t>CLP-Gefahrenklassifizierung</w:t>
            </w:r>
          </w:p>
        </w:tc>
        <w:tc>
          <w:tcPr>
            <w:tcW w:type="dxa" w:w="2160"/>
          </w:tcPr>
          <w:p>
            <w:r>
              <w:t>Anmerkungen</w:t>
            </w:r>
          </w:p>
        </w:tc>
      </w:tr>
      <w:tr>
        <w:tc>
          <w:tcPr>
            <w:tcW w:type="dxa" w:w="2160"/>
          </w:tcPr>
          <w:p>
            <w:r>
              <w:t>Epoxidharz (500-033-5, 25068-38-6)</w:t>
            </w:r>
          </w:p>
        </w:tc>
        <w:tc>
          <w:tcPr>
            <w:tcW w:type="dxa" w:w="2160"/>
          </w:tcPr>
          <w:p>
            <w:r>
              <w:t>34–36</w:t>
            </w:r>
          </w:p>
        </w:tc>
        <w:tc>
          <w:tcPr>
            <w:tcW w:type="dxa" w:w="2160"/>
          </w:tcPr>
          <w:p>
            <w:r>
              <w:t>Hautreiz. 2, H315; Augenreiz. 2, H319; Hautsens. 1, H317; Gewässer-chronisch 2, H411</w:t>
            </w:r>
          </w:p>
        </w:tc>
        <w:tc>
          <w:tcPr>
            <w:tcW w:type="dxa" w:w="2160"/>
          </w:tcPr>
          <w:p>
            <w:r>
              <w:t>Anhang VI CLP-Verordnung; SCL C ≥ 5: Hautreiz. 2, Augenreiz. 2</w:t>
            </w:r>
          </w:p>
        </w:tc>
      </w:tr>
      <w:tr>
        <w:tc>
          <w:tcPr>
            <w:tcW w:type="dxa" w:w="2160"/>
          </w:tcPr>
          <w:p>
            <w:r>
              <w:t>Talkum (238-877-9, 14807-96-6)</w:t>
            </w:r>
          </w:p>
        </w:tc>
        <w:tc>
          <w:tcPr>
            <w:tcW w:type="dxa" w:w="2160"/>
          </w:tcPr>
          <w:p>
            <w:r>
              <w:t>35–58</w:t>
            </w:r>
          </w:p>
        </w:tc>
        <w:tc>
          <w:tcPr>
            <w:tcW w:type="dxa" w:w="2160"/>
          </w:tcPr>
          <w:p>
            <w:r>
              <w:t>Nicht eingestuft</w:t>
            </w:r>
          </w:p>
        </w:tc>
        <w:tc>
          <w:tcPr>
            <w:tcW w:type="dxa" w:w="2160"/>
          </w:tcPr>
          <w:p>
            <w:r>
              <w:t>REACH-Registrierungsdossier; IARC Gruppe 3; ACGIH A4 (nicht klassifizierbar hinsichtlich Kanzerogenität beim Menschen)</w:t>
            </w:r>
          </w:p>
        </w:tc>
      </w:tr>
      <w:tr>
        <w:tc>
          <w:tcPr>
            <w:tcW w:type="dxa" w:w="2160"/>
          </w:tcPr>
          <w:p>
            <w:r>
              <w:t>Kaolin (310-194-1, 1332-58-7)</w:t>
            </w:r>
          </w:p>
        </w:tc>
        <w:tc>
          <w:tcPr>
            <w:tcW w:type="dxa" w:w="2160"/>
          </w:tcPr>
          <w:p>
            <w:r>
              <w:t>5.7–6.5</w:t>
            </w:r>
          </w:p>
        </w:tc>
        <w:tc>
          <w:tcPr>
            <w:tcW w:type="dxa" w:w="2160"/>
          </w:tcPr>
          <w:p>
            <w:r>
              <w:t>Nicht eingestuft</w:t>
            </w:r>
          </w:p>
        </w:tc>
        <w:tc>
          <w:tcPr>
            <w:tcW w:type="dxa" w:w="2160"/>
          </w:tcPr>
          <w:p>
            <w:r>
              <w:t>Klassifizierungs- und Kennzeichnungsinventar</w:t>
            </w:r>
          </w:p>
        </w:tc>
      </w:tr>
    </w:tbl>
    <w:p>
      <w:r>
        <w:t>H315: Verursacht Hautreizungen.</w:t>
        <w:br/>
        <w:t>H317: Kann allergische Hautreaktionen verursachen.</w:t>
        <w:br/>
        <w:t>H319: Verursacht schwere Augenreizungen.</w:t>
        <w:br/>
        <w:t>H411: Giftig für Wasserorganismen, mit langfristiger Wirkung.</w:t>
      </w:r>
    </w:p>
    <w:p>
      <w:pPr>
        <w:pStyle w:val="Heading1"/>
      </w:pPr>
      <w:r>
        <w:t>3. Komponente B</w:t>
      </w:r>
    </w:p>
    <w:p>
      <w:pPr>
        <w:pStyle w:val="Heading2"/>
      </w:pPr>
      <w:r>
        <w:t>Gefahrenklassifizierung der wichtigsten Bestandteile</w:t>
      </w:r>
    </w:p>
    <w:tbl>
      <w:tblPr>
        <w:tblW w:type="auto" w:w="0"/>
        <w:tblLook w:firstColumn="1" w:firstRow="1" w:lastColumn="0" w:lastRow="0" w:noHBand="0" w:noVBand="1" w:val="04A0"/>
      </w:tblPr>
      <w:tblGrid>
        <w:gridCol w:w="2160"/>
        <w:gridCol w:w="2160"/>
        <w:gridCol w:w="2160"/>
        <w:gridCol w:w="2160"/>
      </w:tblGrid>
      <w:tr>
        <w:tc>
          <w:tcPr>
            <w:tcW w:type="dxa" w:w="2160"/>
          </w:tcPr>
          <w:p>
            <w:r>
              <w:t>Bestandteil (EG- und CAS-Nr.)</w:t>
            </w:r>
          </w:p>
        </w:tc>
        <w:tc>
          <w:tcPr>
            <w:tcW w:type="dxa" w:w="2160"/>
          </w:tcPr>
          <w:p>
            <w:r>
              <w:t>Gew.%</w:t>
            </w:r>
          </w:p>
        </w:tc>
        <w:tc>
          <w:tcPr>
            <w:tcW w:type="dxa" w:w="2160"/>
          </w:tcPr>
          <w:p>
            <w:r>
              <w:t>CLP-Gefahrenklassifizierung</w:t>
            </w:r>
          </w:p>
        </w:tc>
        <w:tc>
          <w:tcPr>
            <w:tcW w:type="dxa" w:w="2160"/>
          </w:tcPr>
          <w:p>
            <w:r>
              <w:t>Anmerkungen</w:t>
            </w:r>
          </w:p>
        </w:tc>
      </w:tr>
      <w:tr>
        <w:tc>
          <w:tcPr>
            <w:tcW w:type="dxa" w:w="2160"/>
          </w:tcPr>
          <w:p>
            <w:r>
              <w:t>Fettsäuren, Tallöl, Reaktionsprodukte mit Tetraethylentetramin (273-201-6, 68953-36-6)</w:t>
            </w:r>
          </w:p>
        </w:tc>
        <w:tc>
          <w:tcPr>
            <w:tcW w:type="dxa" w:w="2160"/>
          </w:tcPr>
          <w:p>
            <w:r>
              <w:t>15–30</w:t>
            </w:r>
          </w:p>
        </w:tc>
        <w:tc>
          <w:tcPr>
            <w:tcW w:type="dxa" w:w="2160"/>
          </w:tcPr>
          <w:p>
            <w:r>
              <w:t>Hautreiz. 2, H315; Augenreiz. 2, H319; Hautsens. 1, H317; STOT SE 3, H335</w:t>
            </w:r>
          </w:p>
        </w:tc>
        <w:tc>
          <w:tcPr>
            <w:tcW w:type="dxa" w:w="2160"/>
          </w:tcPr>
          <w:p>
            <w:r>
              <w:t>Klassifizierungs- und Kennzeichnungsinventar</w:t>
            </w:r>
          </w:p>
        </w:tc>
      </w:tr>
      <w:tr>
        <w:tc>
          <w:tcPr>
            <w:tcW w:type="dxa" w:w="2160"/>
          </w:tcPr>
          <w:p>
            <w:r>
              <w:t>Tetraethylentetramin (203-986-2, 112-57-2)</w:t>
            </w:r>
          </w:p>
        </w:tc>
        <w:tc>
          <w:tcPr>
            <w:tcW w:type="dxa" w:w="2160"/>
          </w:tcPr>
          <w:p>
            <w:r>
              <w:t>0.1–2</w:t>
            </w:r>
          </w:p>
        </w:tc>
        <w:tc>
          <w:tcPr>
            <w:tcW w:type="dxa" w:w="2160"/>
          </w:tcPr>
          <w:p>
            <w:r>
              <w:t>Akute Tox. 4 H302; Akute Tox. 4 H312; Hautätz. 1B H314; Schwere Augenschäd. 1 H318; Hautsens. 1 H317; Gewässer-chronisch 2 H411</w:t>
            </w:r>
          </w:p>
        </w:tc>
        <w:tc>
          <w:tcPr>
            <w:tcW w:type="dxa" w:w="2160"/>
          </w:tcPr>
          <w:p>
            <w:r>
              <w:t>Anhang VI CLP-Verordnung; SCL C ≥ 5: Schwere Augenschäd. 1, Hautsens. 1</w:t>
            </w:r>
          </w:p>
        </w:tc>
      </w:tr>
      <w:tr>
        <w:tc>
          <w:tcPr>
            <w:tcW w:type="dxa" w:w="2160"/>
          </w:tcPr>
          <w:p>
            <w:r>
              <w:t>Talkum (238-877-9, 14807-96-6)</w:t>
            </w:r>
          </w:p>
        </w:tc>
        <w:tc>
          <w:tcPr>
            <w:tcW w:type="dxa" w:w="2160"/>
          </w:tcPr>
          <w:p>
            <w:r>
              <w:t>&gt; 50</w:t>
            </w:r>
          </w:p>
        </w:tc>
        <w:tc>
          <w:tcPr>
            <w:tcW w:type="dxa" w:w="2160"/>
          </w:tcPr>
          <w:p>
            <w:r>
              <w:t>Nicht eingestuft</w:t>
            </w:r>
          </w:p>
        </w:tc>
        <w:tc>
          <w:tcPr>
            <w:tcW w:type="dxa" w:w="2160"/>
          </w:tcPr>
          <w:p>
            <w:r>
              <w:t>REACH-Registrierungsdossier; IARC Gruppe 3; ACGIH A4</w:t>
            </w:r>
          </w:p>
        </w:tc>
      </w:tr>
      <w:tr>
        <w:tc>
          <w:tcPr>
            <w:tcW w:type="dxa" w:w="2160"/>
          </w:tcPr>
          <w:p>
            <w:r>
              <w:t>2,6-Di-tert-butyl-p-kresol (BHT) (204-881-4, 128-37-0)</w:t>
            </w:r>
          </w:p>
        </w:tc>
        <w:tc>
          <w:tcPr>
            <w:tcW w:type="dxa" w:w="2160"/>
          </w:tcPr>
          <w:p>
            <w:r>
              <w:t>&lt; 0.5 (nur in einigen Farbvarianten)</w:t>
            </w:r>
          </w:p>
        </w:tc>
        <w:tc>
          <w:tcPr>
            <w:tcW w:type="dxa" w:w="2160"/>
          </w:tcPr>
          <w:p>
            <w:r>
              <w:t>Gewässer-akut 1, H400; Gewässer-chronisch 1, H410 (M = 1)</w:t>
            </w:r>
          </w:p>
        </w:tc>
        <w:tc>
          <w:tcPr>
            <w:tcW w:type="dxa" w:w="2160"/>
          </w:tcPr>
          <w:p>
            <w:r>
              <w:t>Klassifizierungs- und Kennzeichnungsinventar</w:t>
            </w:r>
          </w:p>
        </w:tc>
      </w:tr>
    </w:tbl>
    <w:p>
      <w:r>
        <w:t>H302: Gesundheitsschädlich beim Verschlucken.</w:t>
        <w:br/>
        <w:t>H312: Gesundheitsschädlich bei Hautkontakt.</w:t>
        <w:br/>
        <w:t>H314: Verursacht schwere Verätzungen der Haut und schwere Augenschäden.</w:t>
        <w:br/>
        <w:t>H315: Verursacht Hautreizungen.</w:t>
        <w:br/>
        <w:t>H317: Kann allergische Hautreaktionen verursachen.</w:t>
        <w:br/>
        <w:t>H318: Verursacht schwere Augenschäden.</w:t>
        <w:br/>
        <w:t>H319: Verursacht schwere Augenreizungen.</w:t>
        <w:br/>
        <w:t>H335: Kann die Atemwege reizen.</w:t>
        <w:br/>
        <w:t>H400: Sehr giftig für Wasserorganismen.</w:t>
        <w:br/>
        <w:t>H410: Sehr giftig für Wasserorganismen, mit langfristiger Wirkung.</w:t>
        <w:br/>
        <w:t>H411: Giftig für Wasserorganismen, mit langfristiger Wirkung.</w:t>
        <w:br/>
        <w:t>H412: Schädlich für Wasserorganismen, mit langfristiger Wirkung.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