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Milliput : Évaluation toxicologique de la pâte époxy bi-composant</w:t>
      </w:r>
    </w:p>
    <w:p>
      <w:pPr>
        <w:pStyle w:val="Heading1"/>
      </w:pPr>
      <w:r>
        <w:t>1. Conclusions</w:t>
      </w:r>
    </w:p>
    <w:p>
      <w:r>
        <w:t>Les produits Milliput sont des pâtes époxy bi-composants. Ils sont basés sur une formulation de base pour le Composant A et le Composant B, avec des variations de couleur.</w:t>
        <w:br/>
        <w:br/>
        <w:t>Le Composant A contient la résine époxy. Le principal danger est la sensibilisation cutanée et l’irritation. Il existe un risque d’irritation oculaire si le produit entre en contact avec les yeux. Le produit est vendu en petites quantités, ce qui limite la toxicité pour les organismes aquatiques.</w:t>
        <w:br/>
        <w:br/>
        <w:t>Le Composant B contient un ingrédient polyaminoamide. Le principal danger est la sensibilisation cutanée et l’irritation. Il existe un risque d’irritation oculaire si le produit entre en contact avec les yeux. Cet ingrédient peut également provoquer une irritation des voies respiratoires, mais l’inhalation n’est pas attendue pour un produit visqueux.</w:t>
        <w:br/>
        <w:br/>
        <w:t>Polyaminoamides : ce groupe de produits a des effets légèrement irritants sur la peau et les muqueuses par rapport à d’autres durcisseurs, mais peut contenir des quantités notables d’amine non réagie, ce qui provoque des irritations cutanées, oculaires et muqueuses, et peut entraîner une sensibilisation cutanée.</w:t>
        <w:br/>
        <w:br/>
        <w:t>Certaines variantes de couleur (Blanc superfin, Argent et Bleu turquoise) contiennent de petites quantités de BHT, très toxique pour les organismes aquatiques et susceptible de persister dans l’environnement. Ces produits sont considérés comme nocifs pour les organismes aquatiques avec des effets à long terme. Le produit est vendu en petites quantités, ce qui réduit ce danger.</w:t>
      </w:r>
    </w:p>
    <w:p>
      <w:pPr>
        <w:pStyle w:val="Heading1"/>
      </w:pPr>
      <w:r>
        <w:t>2. Composant A</w:t>
      </w:r>
    </w:p>
    <w:p>
      <w:pPr>
        <w:pStyle w:val="Heading2"/>
      </w:pPr>
      <w:r>
        <w:t>Classification de danger des principaux composants</w:t>
      </w:r>
    </w:p>
    <w:tbl>
      <w:tblPr>
        <w:tblW w:type="auto" w:w="0"/>
        <w:tblLook w:firstColumn="1" w:firstRow="1" w:lastColumn="0" w:lastRow="0" w:noHBand="0" w:noVBand="1" w:val="04A0"/>
      </w:tblPr>
      <w:tblGrid>
        <w:gridCol w:w="2160"/>
        <w:gridCol w:w="2160"/>
        <w:gridCol w:w="2160"/>
        <w:gridCol w:w="2160"/>
      </w:tblGrid>
      <w:tr>
        <w:tc>
          <w:tcPr>
            <w:tcW w:type="dxa" w:w="2160"/>
          </w:tcPr>
          <w:p>
            <w:r>
              <w:t>Ingrédient (n° CE et CAS)</w:t>
            </w:r>
          </w:p>
        </w:tc>
        <w:tc>
          <w:tcPr>
            <w:tcW w:type="dxa" w:w="2160"/>
          </w:tcPr>
          <w:p>
            <w:r>
              <w:t>% en poids</w:t>
            </w:r>
          </w:p>
        </w:tc>
        <w:tc>
          <w:tcPr>
            <w:tcW w:type="dxa" w:w="2160"/>
          </w:tcPr>
          <w:p>
            <w:r>
              <w:t>Classification CLP</w:t>
            </w:r>
          </w:p>
        </w:tc>
        <w:tc>
          <w:tcPr>
            <w:tcW w:type="dxa" w:w="2160"/>
          </w:tcPr>
          <w:p>
            <w:r>
              <w:t>Remarques</w:t>
            </w:r>
          </w:p>
        </w:tc>
      </w:tr>
      <w:tr>
        <w:tc>
          <w:tcPr>
            <w:tcW w:type="dxa" w:w="2160"/>
          </w:tcPr>
          <w:p>
            <w:r>
              <w:t>Résine époxy (500-033-5, 25068-38-6)</w:t>
            </w:r>
          </w:p>
        </w:tc>
        <w:tc>
          <w:tcPr>
            <w:tcW w:type="dxa" w:w="2160"/>
          </w:tcPr>
          <w:p>
            <w:r>
              <w:t>34–36</w:t>
            </w:r>
          </w:p>
        </w:tc>
        <w:tc>
          <w:tcPr>
            <w:tcW w:type="dxa" w:w="2160"/>
          </w:tcPr>
          <w:p>
            <w:r>
              <w:t>Irrit. cut. 2, H315 ; Irrit. ocul. 2, H319 ; Sens. cut. 1, H317 ; Aquatique chronique 2, H411</w:t>
            </w:r>
          </w:p>
        </w:tc>
        <w:tc>
          <w:tcPr>
            <w:tcW w:type="dxa" w:w="2160"/>
          </w:tcPr>
          <w:p>
            <w:r>
              <w:t>Annexe VI Règlement CLP ; SCL C ≥ 5 : Irrit. cut. 2, Irrit. ocul. 2</w:t>
            </w:r>
          </w:p>
        </w:tc>
      </w:tr>
      <w:tr>
        <w:tc>
          <w:tcPr>
            <w:tcW w:type="dxa" w:w="2160"/>
          </w:tcPr>
          <w:p>
            <w:r>
              <w:t>Talc (238-877-9, 14807-96-6)</w:t>
            </w:r>
          </w:p>
        </w:tc>
        <w:tc>
          <w:tcPr>
            <w:tcW w:type="dxa" w:w="2160"/>
          </w:tcPr>
          <w:p>
            <w:r>
              <w:t>35–58</w:t>
            </w:r>
          </w:p>
        </w:tc>
        <w:tc>
          <w:tcPr>
            <w:tcW w:type="dxa" w:w="2160"/>
          </w:tcPr>
          <w:p>
            <w:r>
              <w:t>Non classé</w:t>
            </w:r>
          </w:p>
        </w:tc>
        <w:tc>
          <w:tcPr>
            <w:tcW w:type="dxa" w:w="2160"/>
          </w:tcPr>
          <w:p>
            <w:r>
              <w:t>Dossier d’enregistrement REACH ; CIRC Groupe 3 ; ACGIH A4 (non classable quant à sa cancérogénicité chez l’homme)</w:t>
            </w:r>
          </w:p>
        </w:tc>
      </w:tr>
      <w:tr>
        <w:tc>
          <w:tcPr>
            <w:tcW w:type="dxa" w:w="2160"/>
          </w:tcPr>
          <w:p>
            <w:r>
              <w:t>Kaolin (310-194-1, 1332-58-7)</w:t>
            </w:r>
          </w:p>
        </w:tc>
        <w:tc>
          <w:tcPr>
            <w:tcW w:type="dxa" w:w="2160"/>
          </w:tcPr>
          <w:p>
            <w:r>
              <w:t>5.7–6.5</w:t>
            </w:r>
          </w:p>
        </w:tc>
        <w:tc>
          <w:tcPr>
            <w:tcW w:type="dxa" w:w="2160"/>
          </w:tcPr>
          <w:p>
            <w:r>
              <w:t>Non classé</w:t>
            </w:r>
          </w:p>
        </w:tc>
        <w:tc>
          <w:tcPr>
            <w:tcW w:type="dxa" w:w="2160"/>
          </w:tcPr>
          <w:p>
            <w:r>
              <w:t>Inventaire des classifications et étiquetages</w:t>
            </w:r>
          </w:p>
        </w:tc>
      </w:tr>
    </w:tbl>
    <w:p>
      <w:r>
        <w:t>H315 : Provoque une irritation cutanée.</w:t>
        <w:br/>
        <w:t>H317 : Peut provoquer une allergie cutanée.</w:t>
        <w:br/>
        <w:t>H319 : Provoque une sévère irritation des yeux.</w:t>
        <w:br/>
        <w:t>H411 : Toxique pour les organismes aquatiques, entraîne des effets néfastes à long terme.</w:t>
      </w:r>
    </w:p>
    <w:p>
      <w:pPr>
        <w:pStyle w:val="Heading1"/>
      </w:pPr>
      <w:r>
        <w:t>3. Composant B</w:t>
      </w:r>
    </w:p>
    <w:p>
      <w:pPr>
        <w:pStyle w:val="Heading2"/>
      </w:pPr>
      <w:r>
        <w:t>Classification de danger des principaux composants</w:t>
      </w:r>
    </w:p>
    <w:tbl>
      <w:tblPr>
        <w:tblW w:type="auto" w:w="0"/>
        <w:tblLook w:firstColumn="1" w:firstRow="1" w:lastColumn="0" w:lastRow="0" w:noHBand="0" w:noVBand="1" w:val="04A0"/>
      </w:tblPr>
      <w:tblGrid>
        <w:gridCol w:w="2160"/>
        <w:gridCol w:w="2160"/>
        <w:gridCol w:w="2160"/>
        <w:gridCol w:w="2160"/>
      </w:tblGrid>
      <w:tr>
        <w:tc>
          <w:tcPr>
            <w:tcW w:type="dxa" w:w="2160"/>
          </w:tcPr>
          <w:p>
            <w:r>
              <w:t>Ingrédient (n° CE et CAS)</w:t>
            </w:r>
          </w:p>
        </w:tc>
        <w:tc>
          <w:tcPr>
            <w:tcW w:type="dxa" w:w="2160"/>
          </w:tcPr>
          <w:p>
            <w:r>
              <w:t>% en poids</w:t>
            </w:r>
          </w:p>
        </w:tc>
        <w:tc>
          <w:tcPr>
            <w:tcW w:type="dxa" w:w="2160"/>
          </w:tcPr>
          <w:p>
            <w:r>
              <w:t>Classification CLP</w:t>
            </w:r>
          </w:p>
        </w:tc>
        <w:tc>
          <w:tcPr>
            <w:tcW w:type="dxa" w:w="2160"/>
          </w:tcPr>
          <w:p>
            <w:r>
              <w:t>Remarques</w:t>
            </w:r>
          </w:p>
        </w:tc>
      </w:tr>
      <w:tr>
        <w:tc>
          <w:tcPr>
            <w:tcW w:type="dxa" w:w="2160"/>
          </w:tcPr>
          <w:p>
            <w:r>
              <w:t>Acides gras, tall-oil, produits de réaction avec tétraéthylènepentamine (273-201-6, 68953-36-6)</w:t>
            </w:r>
          </w:p>
        </w:tc>
        <w:tc>
          <w:tcPr>
            <w:tcW w:type="dxa" w:w="2160"/>
          </w:tcPr>
          <w:p>
            <w:r>
              <w:t>15–30</w:t>
            </w:r>
          </w:p>
        </w:tc>
        <w:tc>
          <w:tcPr>
            <w:tcW w:type="dxa" w:w="2160"/>
          </w:tcPr>
          <w:p>
            <w:r>
              <w:t>Irrit. cut. 2, H315 ; Irrit. ocul. 2, H319 ; Sens. cut. 1, H317 ; STOT SE 3, H335</w:t>
            </w:r>
          </w:p>
        </w:tc>
        <w:tc>
          <w:tcPr>
            <w:tcW w:type="dxa" w:w="2160"/>
          </w:tcPr>
          <w:p>
            <w:r>
              <w:t>Inventaire des classifications et étiquetages</w:t>
            </w:r>
          </w:p>
        </w:tc>
      </w:tr>
      <w:tr>
        <w:tc>
          <w:tcPr>
            <w:tcW w:type="dxa" w:w="2160"/>
          </w:tcPr>
          <w:p>
            <w:r>
              <w:t>Tétraéthylènepentamine (203-986-2, 112-57-2)</w:t>
            </w:r>
          </w:p>
        </w:tc>
        <w:tc>
          <w:tcPr>
            <w:tcW w:type="dxa" w:w="2160"/>
          </w:tcPr>
          <w:p>
            <w:r>
              <w:t>0.1–2</w:t>
            </w:r>
          </w:p>
        </w:tc>
        <w:tc>
          <w:tcPr>
            <w:tcW w:type="dxa" w:w="2160"/>
          </w:tcPr>
          <w:p>
            <w:r>
              <w:t>Tox. aiguë 4 H302 ; Tox. aiguë 4 H312 ; Corr. cut. 1B H314 ; Lés. ocul. 1 H318 ; Sens. cut. 1 H317 ; Aquatique chronique 2 H411</w:t>
            </w:r>
          </w:p>
        </w:tc>
        <w:tc>
          <w:tcPr>
            <w:tcW w:type="dxa" w:w="2160"/>
          </w:tcPr>
          <w:p>
            <w:r>
              <w:t>Annexe VI Règlement CLP ; SCL C ≥ 5 : Lés. ocul. 1, Sens. cut. 1</w:t>
            </w:r>
          </w:p>
        </w:tc>
      </w:tr>
      <w:tr>
        <w:tc>
          <w:tcPr>
            <w:tcW w:type="dxa" w:w="2160"/>
          </w:tcPr>
          <w:p>
            <w:r>
              <w:t>Talc (238-877-9, 14807-96-6)</w:t>
            </w:r>
          </w:p>
        </w:tc>
        <w:tc>
          <w:tcPr>
            <w:tcW w:type="dxa" w:w="2160"/>
          </w:tcPr>
          <w:p>
            <w:r>
              <w:t>&gt; 50</w:t>
            </w:r>
          </w:p>
        </w:tc>
        <w:tc>
          <w:tcPr>
            <w:tcW w:type="dxa" w:w="2160"/>
          </w:tcPr>
          <w:p>
            <w:r>
              <w:t>Non classé</w:t>
            </w:r>
          </w:p>
        </w:tc>
        <w:tc>
          <w:tcPr>
            <w:tcW w:type="dxa" w:w="2160"/>
          </w:tcPr>
          <w:p>
            <w:r>
              <w:t>Dossier d’enregistrement REACH ; CIRC Groupe 3 ; ACGIH A4</w:t>
            </w:r>
          </w:p>
        </w:tc>
      </w:tr>
      <w:tr>
        <w:tc>
          <w:tcPr>
            <w:tcW w:type="dxa" w:w="2160"/>
          </w:tcPr>
          <w:p>
            <w:r>
              <w:t>2,6-Di-tert-butyl-p-crésol (BHT) (204-881-4, 128-37-0)</w:t>
            </w:r>
          </w:p>
        </w:tc>
        <w:tc>
          <w:tcPr>
            <w:tcW w:type="dxa" w:w="2160"/>
          </w:tcPr>
          <w:p>
            <w:r>
              <w:t>&lt; 0.5 (seulement dans certaines variantes de couleur)</w:t>
            </w:r>
          </w:p>
        </w:tc>
        <w:tc>
          <w:tcPr>
            <w:tcW w:type="dxa" w:w="2160"/>
          </w:tcPr>
          <w:p>
            <w:r>
              <w:t>Aquatique aiguë 1, H400 ; Aquatique chronique 1, H410 (M = 1)</w:t>
            </w:r>
          </w:p>
        </w:tc>
        <w:tc>
          <w:tcPr>
            <w:tcW w:type="dxa" w:w="2160"/>
          </w:tcPr>
          <w:p>
            <w:r>
              <w:t>Inventaire des classifications et étiquetages</w:t>
            </w:r>
          </w:p>
        </w:tc>
      </w:tr>
    </w:tbl>
    <w:p>
      <w:r>
        <w:t>H302 : Nocif en cas d’ingestion.</w:t>
        <w:br/>
        <w:t>H312 : Nocif par contact cutané.</w:t>
        <w:br/>
        <w:t>H314 : Provoque des brûlures de la peau et des lésions oculaires graves.</w:t>
        <w:br/>
        <w:t>H315 : Provoque une irritation cutanée.</w:t>
        <w:br/>
        <w:t>H317 : Peut provoquer une allergie cutanée.</w:t>
        <w:br/>
        <w:t>H318 : Provoque des lésions oculaires graves.</w:t>
        <w:br/>
        <w:t>H319 : Provoque une sévère irritation des yeux.</w:t>
        <w:br/>
        <w:t>H335 : Peut irriter les voies respiratoires.</w:t>
        <w:br/>
        <w:t>H400 : Très toxique pour les organismes aquatiques.</w:t>
        <w:br/>
        <w:t>H410 : Très toxique pour les organismes aquatiques, entraîne des effets néfastes à long terme.</w:t>
        <w:br/>
        <w:t>H411 : Toxique pour les organismes aquatiques, entraîne des effets néfastes à long terme.</w:t>
        <w:br/>
        <w:t>H412 : Nocif pour les organismes aquatiques, entraîne des effets néfastes à long terme.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